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PT Sans" w:hAnsi="PT Sans"/>
          <w:b/>
          <w:color w:val="0097D8"/>
          <w:sz w:val="19"/>
        </w:rPr>
        <w:t>ГАЗПРОМ НЕФТЬ · ДЕПАРТАМЕНТ ПО ЦИФРОВОЙ ТРАНСФОРМАЦИИ</w:t>
      </w:r>
    </w:p>
    <w:p>
      <w:pPr>
        <w:spacing w:after="40" w:before="0"/>
        <w:jc w:val="center"/>
      </w:pPr>
      <w:r>
        <w:rPr>
          <w:rFonts w:ascii="PT Sans" w:hAnsi="PT Sans"/>
          <w:b/>
          <w:color w:val="005A9C"/>
          <w:sz w:val="32"/>
        </w:rPr>
        <w:t>Цифровой двойник отрасли: от Энергостратегии–2050 к управляемой автономии цифровых процессов</w:t>
      </w:r>
    </w:p>
    <w:p>
      <w:pPr>
        <w:spacing w:after="200" w:before="0"/>
        <w:jc w:val="center"/>
      </w:pPr>
      <w:r>
        <w:rPr>
          <w:rFonts w:ascii="PT Sans" w:hAnsi="PT Sans"/>
          <w:b w:val="0"/>
          <w:color w:val="6E7B8A"/>
          <w:sz w:val="21"/>
        </w:rPr>
        <w:t>Рабочая записка для обсуждения · ноябрь 2026</w:t>
      </w:r>
    </w:p>
    <w:p>
      <w:pPr>
        <w:spacing w:before="240" w:after="80"/>
      </w:pPr>
      <w:r>
        <w:rPr>
          <w:rFonts w:ascii="PT Sans" w:hAnsi="PT Sans"/>
          <w:b/>
          <w:color w:val="005A9C"/>
          <w:sz w:val="27"/>
        </w:rPr>
        <w:t>1. Отправная точка: Энергетическая стратегия–2050</w:t>
      </w:r>
    </w:p>
    <w:p>
      <w:pPr>
        <w:spacing w:after="120" w:before="0"/>
      </w:pPr>
      <w:r>
        <w:rPr>
          <w:rFonts w:ascii="PT Sans" w:hAnsi="PT Sans"/>
          <w:b/>
          <w:color w:val="005A9C"/>
          <w:sz w:val="23"/>
        </w:rPr>
        <w:t xml:space="preserve">В Энергетической стратегии Российской Федерации на период до 2050 года (утверждена распоряжением Правительства РФ от 12.04.2025 № 908-р) </w:t>
      </w:r>
      <w:r>
        <w:rPr>
          <w:rFonts w:ascii="PT Sans" w:hAnsi="PT Sans"/>
          <w:b w:val="0"/>
          <w:color w:val="1A2B3A"/>
          <w:sz w:val="23"/>
        </w:rPr>
        <w:t>цифровой двойник прямо назван инструментом достижения целевого сценария ТЭК.</w:t>
      </w:r>
    </w:p>
    <w:p>
      <w:pPr>
        <w:spacing w:after="120" w:before="0"/>
      </w:pPr>
      <w:r>
        <w:rPr>
          <w:rFonts w:ascii="PT Sans" w:hAnsi="PT Sans"/>
          <w:b w:val="0"/>
          <w:color w:val="1A2B3A"/>
          <w:sz w:val="23"/>
        </w:rPr>
        <w:t>«Цифровые двойники активов предприятий позволят нарастить долю инженерных изысканий, выполняемых искусственным интеллектом, до 30–40 процентов», автоматизация процессов — до 70–80 процентов, совокупный уровень роботизации — до 60–70 процентов; совокупное применение проектов цифровой трансформации должно в 1,5–2 раза повысить производительность труда.</w:t>
      </w:r>
    </w:p>
    <w:p>
      <w:pPr>
        <w:spacing w:after="120" w:before="80"/>
      </w:pPr>
      <w:r>
        <w:rPr>
          <w:rFonts w:ascii="PT Sans" w:hAnsi="PT Sans"/>
          <w:b w:val="0"/>
          <w:color w:val="1A2B3A"/>
          <w:sz w:val="23"/>
        </w:rPr>
        <w:t>Стратегия требует «достижения цифровой зрелости процессов» с одновременным «обеспечением контроля управляемости и безопасности объектов критической информационной инфраструктуры». Это два обязательных условия одновременно: скорость решений И растёт, контроль безопасности не снижается.</w:t>
      </w:r>
    </w:p>
    <w:p>
      <w:pPr>
        <w:spacing w:after="120" w:before="0"/>
      </w:pPr>
      <w:r>
        <w:rPr>
          <w:rFonts w:ascii="PT Sans" w:hAnsi="PT Sans"/>
          <w:b w:val="0"/>
          <w:color w:val="1A2B3A"/>
          <w:sz w:val="23"/>
        </w:rPr>
        <w:t>Смежные опоры: направление цифровой трансформации ТЭК до 2030 года (распоряжение № 581-р), создание центра компетенций по ИИ в ТЭК, переход на принцип управления и принятия решений на основе больших данных.</w:t>
      </w:r>
    </w:p>
    <w:p>
      <w:pPr>
        <w:spacing w:before="240" w:after="80"/>
      </w:pPr>
      <w:r>
        <w:rPr>
          <w:rFonts w:ascii="PT Sans" w:hAnsi="PT Sans"/>
          <w:b/>
          <w:color w:val="005A9C"/>
          <w:sz w:val="27"/>
        </w:rPr>
        <w:t>2. Что это означает: от двойников — к агентам</w:t>
      </w:r>
    </w:p>
    <w:p>
      <w:pPr>
        <w:spacing w:after="120" w:before="0"/>
      </w:pPr>
      <w:r>
        <w:rPr>
          <w:rFonts w:ascii="PT Sans" w:hAnsi="PT Sans"/>
          <w:b/>
          <w:color w:val="005A9C"/>
          <w:sz w:val="23"/>
        </w:rPr>
        <w:t xml:space="preserve">Для отрасли </w:t>
      </w:r>
      <w:r>
        <w:rPr>
          <w:rFonts w:ascii="PT Sans" w:hAnsi="PT Sans"/>
          <w:b w:val="0"/>
          <w:color w:val="1A2B3A"/>
          <w:sz w:val="23"/>
        </w:rPr>
        <w:t>период «цифровых двойников как моделей» заканчивается. Следующий шаг объявлен публично на ЦИПР-2026: лидер отрасли закрыл цифровыми двойниками 80% цепочки создания стоимости и «производит трансформацию цифровых двойников в агентов, создаёт мультиагентную систему».</w:t>
      </w:r>
    </w:p>
    <w:p>
      <w:pPr>
        <w:spacing w:after="120" w:before="0"/>
      </w:pPr>
      <w:r>
        <w:rPr>
          <w:rFonts w:ascii="PT Sans" w:hAnsi="PT Sans"/>
          <w:b w:val="0"/>
          <w:color w:val="1A2B3A"/>
          <w:sz w:val="23"/>
        </w:rPr>
        <w:t>Это означает, что решения в контуре двойника начинает принимать не только человек: алгоритмы подбирают данные, запускают расчёты, интегрируют системы и предлагают варианты решений. Двойник перестаёт быть «зеркалом» и становится средой, в которой работают самостоятельные цифровые процессы.</w:t>
      </w:r>
    </w:p>
    <w:p>
      <w:pPr>
        <w:spacing w:after="120" w:before="0"/>
      </w:pPr>
      <w:r>
        <w:rPr>
          <w:rFonts w:ascii="PT Sans" w:hAnsi="PT Sans"/>
          <w:b w:val="0"/>
          <w:color w:val="1A2B3A"/>
          <w:sz w:val="23"/>
        </w:rPr>
        <w:t>Но в Энергостратегии и в отраслевых программах нет ответа на ключевой вопрос: по каким правилам цифровой процесс получает право действовать самостоятельно и где граница, за которой обязателен человек. Именно здесь — управленческий разрыв, который закрывает предлагаемая ниже рамка.</w:t>
      </w:r>
    </w:p>
    <w:p>
      <w:pPr>
        <w:spacing w:before="240" w:after="80"/>
      </w:pPr>
      <w:r>
        <w:rPr>
          <w:rFonts w:ascii="PT Sans" w:hAnsi="PT Sans"/>
          <w:b/>
          <w:color w:val="005A9C"/>
          <w:sz w:val="27"/>
        </w:rPr>
        <w:t>3. Где отрасль: три зоны готовности</w:t>
      </w:r>
    </w:p>
    <w:p>
      <w:pPr>
        <w:spacing w:after="120" w:before="0"/>
      </w:pPr>
      <w:r>
        <w:rPr>
          <w:rFonts w:ascii="PT Sans" w:hAnsi="PT Sans"/>
          <w:b/>
          <w:color w:val="005A9C"/>
          <w:sz w:val="23"/>
        </w:rPr>
        <w:t xml:space="preserve">БЕЛЫЕ ЗОНЫ — </w:t>
      </w:r>
      <w:r>
        <w:rPr>
          <w:rFonts w:ascii="PT Sans" w:hAnsi="PT Sans"/>
          <w:b w:val="0"/>
          <w:color w:val="1A2B3A"/>
          <w:sz w:val="23"/>
        </w:rPr>
        <w:t>есть и работает: цифровые двойники у лидеров (80% покрытия цепочки создания стоимости у «Газпром нефти», платформа оркестрации двойников с партнёрами), точечный ИИ (машинное зрение — у 77% организаций отрасли, поддержка решений — у 63%), сложившаяся нормативная база КИИ (187-ФЗ, категорирование, требования ФСТЭК, включая требования к защите систем ИИ с 2026 года).</w:t>
      </w:r>
    </w:p>
    <w:p>
      <w:pPr>
        <w:spacing w:after="120" w:before="0"/>
      </w:pPr>
      <w:r>
        <w:rPr>
          <w:rFonts w:ascii="PT Sans" w:hAnsi="PT Sans"/>
          <w:b/>
          <w:color w:val="005A9C"/>
          <w:sz w:val="23"/>
        </w:rPr>
        <w:t xml:space="preserve">СЕРЫЕ ЗОНЫ — </w:t>
      </w:r>
      <w:r>
        <w:rPr>
          <w:rFonts w:ascii="PT Sans" w:hAnsi="PT Sans"/>
          <w:b w:val="0"/>
          <w:color w:val="1A2B3A"/>
          <w:sz w:val="23"/>
        </w:rPr>
        <w:t>в процессе, неравномерно: качество и доступность производственных данных — главный барьер цифровой трансформации (нехватка данных у 28% организаций, неструктурированность — у 23%); агентские системы — декларации и пилоты, а не эксплуатация; регулирование ИИ-агентов — проектно (впервые вынесено на обсуждение в 2026 году).</w:t>
      </w:r>
    </w:p>
    <w:p>
      <w:pPr>
        <w:spacing w:after="120" w:before="0"/>
      </w:pPr>
      <w:r>
        <w:rPr>
          <w:rFonts w:ascii="PT Sans" w:hAnsi="PT Sans"/>
          <w:b/>
          <w:color w:val="005A9C"/>
          <w:sz w:val="23"/>
        </w:rPr>
        <w:t xml:space="preserve">ЗОНЫ РАЗВИТИЯ — </w:t>
      </w:r>
      <w:r>
        <w:rPr>
          <w:rFonts w:ascii="PT Sans" w:hAnsi="PT Sans"/>
          <w:b w:val="0"/>
          <w:color w:val="1A2B3A"/>
          <w:sz w:val="23"/>
        </w:rPr>
        <w:t>пусто: правила допуска цифровых процессов к самостоятельным действиям (гейты автономии); зрелость данных как условие автономии; независимая верификация и аудит решений ИИ; экономика автономии — стоимость отказа и эффект. Ни у кого в отрасли этого нет — включая международные рамки (Digital Twin Consortium выпустил манифест десяти законов для промышленных ИИ-агентов в феврале 2026 года — это рамка «что должно быть», но не работающий механизм).</w:t>
      </w:r>
    </w:p>
    <w:p>
      <w:pPr>
        <w:spacing w:before="240" w:after="80"/>
      </w:pPr>
      <w:r>
        <w:rPr>
          <w:rFonts w:ascii="PT Sans" w:hAnsi="PT Sans"/>
          <w:b/>
          <w:color w:val="005A9C"/>
          <w:sz w:val="27"/>
        </w:rPr>
        <w:t>4. Предлагаемая рамка: управляемая автономия</w:t>
      </w:r>
    </w:p>
    <w:p>
      <w:pPr>
        <w:spacing w:after="120" w:before="0"/>
      </w:pPr>
      <w:r>
        <w:rPr>
          <w:rFonts w:ascii="PT Sans" w:hAnsi="PT Sans"/>
          <w:b/>
          <w:color w:val="005A9C"/>
          <w:sz w:val="23"/>
        </w:rPr>
        <w:t xml:space="preserve">Двойная лестница. </w:t>
      </w:r>
      <w:r>
        <w:rPr>
          <w:rFonts w:ascii="PT Sans" w:hAnsi="PT Sans"/>
          <w:b w:val="0"/>
          <w:color w:val="1A2B3A"/>
          <w:sz w:val="23"/>
        </w:rPr>
        <w:t>каждый цифровой процесс ИЦД получает паспорт по двум осям: зрелость данных (D0–D3) и уровень автономии (1 — рекомендации, 2 — регламентированные цепочки, 3 — самостоятельные действия в границах). Право на следующий уровень даёт только прохождение гейтов безопасности — по духу десяти законов DTC, юридически — через локальные акты и требования приказа ФСТЭК № 239.</w:t>
      </w:r>
    </w:p>
    <w:p>
      <w:pPr>
        <w:spacing w:after="120" w:before="0"/>
      </w:pPr>
      <w:r>
        <w:rPr>
          <w:rFonts w:ascii="PT Sans" w:hAnsi="PT Sans"/>
          <w:b/>
          <w:color w:val="005A9C"/>
          <w:sz w:val="23"/>
        </w:rPr>
        <w:t xml:space="preserve">Разделение ответственности. </w:t>
      </w:r>
      <w:r>
        <w:rPr>
          <w:rFonts w:ascii="PT Sans" w:hAnsi="PT Sans"/>
          <w:b w:val="0"/>
          <w:color w:val="1A2B3A"/>
          <w:sz w:val="23"/>
        </w:rPr>
        <w:t>решение о повышении автономии не принимается владельцем процесса единолично: технологический блок подтверждает зрелость данных, служба ИБ подтверждает безопасность, независимая проверка — корректность. Обязанности по 187-ФЗ остаются на субъекте КИИ; роли — внутренний механизм исполнения этих обязанностей.</w:t>
      </w:r>
    </w:p>
    <w:p>
      <w:pPr>
        <w:spacing w:after="120" w:before="0"/>
      </w:pPr>
      <w:r>
        <w:rPr>
          <w:rFonts w:ascii="PT Sans" w:hAnsi="PT Sans"/>
          <w:b/>
          <w:color w:val="005A9C"/>
          <w:sz w:val="23"/>
        </w:rPr>
        <w:t xml:space="preserve">Единая точка политик. </w:t>
      </w:r>
      <w:r>
        <w:rPr>
          <w:rFonts w:ascii="PT Sans" w:hAnsi="PT Sans"/>
          <w:b w:val="0"/>
          <w:color w:val="1A2B3A"/>
          <w:sz w:val="23"/>
        </w:rPr>
        <w:t>ограничения и правила меняются один раз в центре — и принудительно расходятся на все процессы; при отказе управляющего центра процессы продолжают работу по последним проверенным правилам, критичные действия — только по подтверждению.</w:t>
      </w:r>
    </w:p>
    <w:p>
      <w:pPr>
        <w:spacing w:after="120" w:before="0"/>
      </w:pPr>
      <w:r>
        <w:rPr>
          <w:rFonts w:ascii="PT Sans" w:hAnsi="PT Sans"/>
          <w:b/>
          <w:color w:val="005A9C"/>
          <w:sz w:val="23"/>
        </w:rPr>
        <w:t xml:space="preserve">Стандартизационный задел. </w:t>
      </w:r>
      <w:r>
        <w:rPr>
          <w:rFonts w:ascii="PT Sans" w:hAnsi="PT Sans"/>
          <w:b w:val="0"/>
          <w:color w:val="1A2B3A"/>
          <w:sz w:val="23"/>
        </w:rPr>
        <w:t>рамка соответствует международному тренду (DTC — 200+ организаций-участников консорциума) и создаёт задел для стандартизационной позиции России, в том числе в совместной работе с китайскими партнёрами (CESI, CICS-CERT) по кибербезопасности ИИ в КИИ.</w:t>
      </w:r>
    </w:p>
    <w:p>
      <w:pPr>
        <w:spacing w:before="240" w:after="80"/>
      </w:pPr>
      <w:r>
        <w:rPr>
          <w:rFonts w:ascii="PT Sans" w:hAnsi="PT Sans"/>
          <w:b/>
          <w:color w:val="005A9C"/>
          <w:sz w:val="27"/>
        </w:rPr>
        <w:t>5. Где эффекты</w:t>
      </w:r>
    </w:p>
    <w:p>
      <w:pPr>
        <w:pStyle w:val="ListBullet"/>
        <w:spacing w:after="60"/>
      </w:pPr>
      <w:r>
        <w:rPr>
          <w:rFonts w:ascii="PT Sans" w:hAnsi="PT Sans"/>
          <w:b/>
          <w:color w:val="1A2B3A"/>
          <w:sz w:val="23"/>
        </w:rPr>
        <w:t xml:space="preserve">Скорость решений: </w:t>
      </w:r>
      <w:r>
        <w:rPr>
          <w:rFonts w:ascii="PT Sans" w:hAnsi="PT Sans"/>
          <w:color w:val="1A2B3A"/>
          <w:sz w:val="23"/>
        </w:rPr>
        <w:t>сокращение времени подготовки инженерных решений за счёт автономных расчётов; цель Стратегии — рост доли изысканий, выполняемых ИИ, до 30–40%.</w:t>
      </w:r>
    </w:p>
    <w:p>
      <w:pPr>
        <w:pStyle w:val="ListBullet"/>
        <w:spacing w:after="60"/>
      </w:pPr>
      <w:r>
        <w:rPr>
          <w:rFonts w:ascii="PT Sans" w:hAnsi="PT Sans"/>
          <w:b/>
          <w:color w:val="1A2B3A"/>
          <w:sz w:val="23"/>
        </w:rPr>
        <w:t xml:space="preserve">Снижение рисков: </w:t>
      </w:r>
      <w:r>
        <w:rPr>
          <w:rFonts w:ascii="PT Sans" w:hAnsi="PT Sans"/>
          <w:color w:val="1A2B3A"/>
          <w:sz w:val="23"/>
        </w:rPr>
        <w:t>отказ самостоятельного цифрового процесса на объектах КИИ — риск уголовной ответственности (ст. 274.1 УК РФ); управляемая автономия с гейтом «рекомендация ≠ исполнение» снимает персональные риски руководителей и делает автономию проверяемой для регулятора.</w:t>
      </w:r>
    </w:p>
    <w:p>
      <w:pPr>
        <w:pStyle w:val="ListBullet"/>
        <w:spacing w:after="60"/>
      </w:pPr>
      <w:r>
        <w:rPr>
          <w:rFonts w:ascii="PT Sans" w:hAnsi="PT Sans"/>
          <w:b/>
          <w:color w:val="1A2B3A"/>
          <w:sz w:val="23"/>
        </w:rPr>
        <w:t xml:space="preserve">Отдача от созданного: </w:t>
      </w:r>
      <w:r>
        <w:rPr>
          <w:rFonts w:ascii="PT Sans" w:hAnsi="PT Sans"/>
          <w:color w:val="1A2B3A"/>
          <w:sz w:val="23"/>
        </w:rPr>
        <w:t>постепенное повышение автономии вместо «всё или ничего»: процессы без капитальных вложений получают больше отдачи от уже созданных двойников и ИИ-моделей.</w:t>
      </w:r>
    </w:p>
    <w:p>
      <w:pPr>
        <w:pStyle w:val="ListBullet"/>
        <w:spacing w:after="60"/>
      </w:pPr>
      <w:r>
        <w:rPr>
          <w:rFonts w:ascii="PT Sans" w:hAnsi="PT Sans"/>
          <w:b/>
          <w:color w:val="1A2B3A"/>
          <w:sz w:val="23"/>
        </w:rPr>
        <w:t xml:space="preserve">Лидерство: </w:t>
      </w:r>
      <w:r>
        <w:rPr>
          <w:rFonts w:ascii="PT Sans" w:hAnsi="PT Sans"/>
          <w:color w:val="1A2B3A"/>
          <w:sz w:val="23"/>
        </w:rPr>
        <w:t>первый в отрасли работающий механизм допуска ИИ к самостоятельным действиям — основа для отраслевых стандартов и позиции в международной стандартизации.</w:t>
      </w:r>
    </w:p>
    <w:p>
      <w:pPr>
        <w:spacing w:before="240" w:after="80"/>
      </w:pPr>
      <w:r>
        <w:rPr>
          <w:rFonts w:ascii="PT Sans" w:hAnsi="PT Sans"/>
          <w:b/>
          <w:color w:val="005A9C"/>
          <w:sz w:val="27"/>
        </w:rPr>
        <w:t>6. Дорожная карта первого года</w:t>
      </w:r>
    </w:p>
    <w:p>
      <w:pPr>
        <w:spacing w:after="120" w:before="0"/>
      </w:pPr>
      <w:r>
        <w:rPr>
          <w:rFonts w:ascii="PT Sans" w:hAnsi="PT Sans"/>
          <w:b/>
          <w:color w:val="005A9C"/>
          <w:sz w:val="23"/>
        </w:rPr>
        <w:t xml:space="preserve">1-й квартал — легитимация: </w:t>
      </w:r>
      <w:r>
        <w:rPr>
          <w:rFonts w:ascii="PT Sans" w:hAnsi="PT Sans"/>
          <w:b w:val="0"/>
          <w:color w:val="1A2B3A"/>
          <w:sz w:val="23"/>
        </w:rPr>
        <w:t>привязка ролей к 187-ФЗ, маппинг гейтов на требования ФСТЭК, инвентаризация процессов ИЦД по лестнице, пилот гейта на одном некритичном процессе.</w:t>
      </w:r>
    </w:p>
    <w:p>
      <w:pPr>
        <w:spacing w:after="120" w:before="0"/>
      </w:pPr>
      <w:r>
        <w:rPr>
          <w:rFonts w:ascii="PT Sans" w:hAnsi="PT Sans"/>
          <w:b/>
          <w:color w:val="005A9C"/>
          <w:sz w:val="23"/>
        </w:rPr>
        <w:t xml:space="preserve">2-й квартал — паспорта: </w:t>
      </w:r>
      <w:r>
        <w:rPr>
          <w:rFonts w:ascii="PT Sans" w:hAnsi="PT Sans"/>
          <w:b w:val="0"/>
          <w:color w:val="1A2B3A"/>
          <w:sz w:val="23"/>
        </w:rPr>
        <w:t>паспорта первых 10–12 процессов с оценкой «риск × зрелость данных × последствие отказа», локальные акты о гейтах, метрики деградации данных с защитой от «качелей» уровней.</w:t>
      </w:r>
    </w:p>
    <w:p>
      <w:pPr>
        <w:spacing w:after="120" w:before="0"/>
      </w:pPr>
      <w:r>
        <w:rPr>
          <w:rFonts w:ascii="PT Sans" w:hAnsi="PT Sans"/>
          <w:b/>
          <w:color w:val="005A9C"/>
          <w:sz w:val="23"/>
        </w:rPr>
        <w:t xml:space="preserve">3-й квартал — независимость и экономика: </w:t>
      </w:r>
      <w:r>
        <w:rPr>
          <w:rFonts w:ascii="PT Sans" w:hAnsi="PT Sans"/>
          <w:b w:val="0"/>
          <w:color w:val="1A2B3A"/>
          <w:sz w:val="23"/>
        </w:rPr>
        <w:t>независимый аудит зрелости данных, централизованное распространение политик на 2–3 процессах, расчёт стоимости отказа по каждому процессу.</w:t>
      </w:r>
    </w:p>
    <w:p>
      <w:pPr>
        <w:spacing w:after="120" w:before="0"/>
      </w:pPr>
      <w:r>
        <w:rPr>
          <w:rFonts w:ascii="PT Sans" w:hAnsi="PT Sans"/>
          <w:b/>
          <w:color w:val="005A9C"/>
          <w:sz w:val="23"/>
        </w:rPr>
        <w:t xml:space="preserve">4-й квартал — первый переход: </w:t>
      </w:r>
      <w:r>
        <w:rPr>
          <w:rFonts w:ascii="PT Sans" w:hAnsi="PT Sans"/>
          <w:b w:val="0"/>
          <w:color w:val="1A2B3A"/>
          <w:sz w:val="23"/>
        </w:rPr>
        <w:t>первый переход процесса в режим подтверждённой автономии, стандартизационная позиция, сверка с платформой промышленных данных Минпромторга.</w:t>
      </w:r>
    </w:p>
    <w:p>
      <w:pPr>
        <w:spacing w:before="240" w:after="80"/>
      </w:pPr>
      <w:r>
        <w:rPr>
          <w:rFonts w:ascii="PT Sans" w:hAnsi="PT Sans"/>
          <w:b/>
          <w:color w:val="005A9C"/>
          <w:sz w:val="27"/>
        </w:rPr>
        <w:t>7. Вопросы для обсуждения</w:t>
      </w:r>
    </w:p>
    <w:p>
      <w:pPr>
        <w:pStyle w:val="ListBullet"/>
        <w:spacing w:after="60"/>
      </w:pPr>
      <w:r>
        <w:rPr>
          <w:rFonts w:ascii="PT Sans" w:hAnsi="PT Sans"/>
          <w:color w:val="1A2B3A"/>
          <w:sz w:val="23"/>
        </w:rPr>
        <w:t>Согласны ли с принципом «автономия процесса не выше зрелости его данных» как жёстким правилом, или нужна матрица «риск × зрелость × последствие»?</w:t>
      </w:r>
    </w:p>
    <w:p>
      <w:pPr>
        <w:pStyle w:val="ListBullet"/>
        <w:spacing w:after="60"/>
      </w:pPr>
      <w:r>
        <w:rPr>
          <w:rFonts w:ascii="PT Sans" w:hAnsi="PT Sans"/>
          <w:color w:val="1A2B3A"/>
          <w:sz w:val="23"/>
        </w:rPr>
        <w:t>Какой процесс ИЦД берём в пилот первого квартала (минимальный риск, максимальная наглядность)?</w:t>
      </w:r>
    </w:p>
    <w:p>
      <w:pPr>
        <w:pStyle w:val="ListBullet"/>
        <w:spacing w:after="60"/>
      </w:pPr>
      <w:r>
        <w:rPr>
          <w:rFonts w:ascii="PT Sans" w:hAnsi="PT Sans"/>
          <w:color w:val="1A2B3A"/>
          <w:sz w:val="23"/>
        </w:rPr>
        <w:t>Кто в компании выполняет роль независимого аудита зрелости данных?</w:t>
      </w:r>
    </w:p>
    <w:p>
      <w:pPr>
        <w:pStyle w:val="ListBullet"/>
        <w:spacing w:after="60"/>
      </w:pPr>
      <w:r>
        <w:rPr>
          <w:rFonts w:ascii="PT Sans" w:hAnsi="PT Sans"/>
          <w:color w:val="1A2B3A"/>
          <w:sz w:val="23"/>
        </w:rPr>
        <w:t>Выносим ли рамку в стандартизационный контур (ПНСТ, площадка РФ–Китай) в 2026–2027 годах?</w:t>
      </w:r>
    </w:p>
    <w:p>
      <w:pPr>
        <w:pStyle w:val="ListBullet"/>
        <w:spacing w:after="60"/>
      </w:pPr>
      <w:r>
        <w:rPr>
          <w:rFonts w:ascii="PT Sans" w:hAnsi="PT Sans"/>
          <w:color w:val="1A2B3A"/>
          <w:sz w:val="23"/>
        </w:rPr>
        <w:t>Целевой горизонт: сколько процессов и на каком уровне автономии должны быть через 12 месяцев?</w:t>
      </w:r>
    </w:p>
    <w:p>
      <w:pPr>
        <w:spacing w:after="80" w:before="200"/>
      </w:pPr>
      <w:r>
        <w:rPr>
          <w:rFonts w:ascii="PT Sans" w:hAnsi="PT Sans"/>
          <w:b w:val="0"/>
          <w:color w:val="6E7B8A"/>
          <w:sz w:val="18"/>
        </w:rPr>
        <w:t>Источники: Энергетическая стратегия РФ до 2050 года (распоряжение Правительства РФ от 12.04.2025 № 908-р); направление цифровой трансформации ТЭК (распоряжение № 581-р); 187-ФЗ «О безопасности КИИ»; приказ ФСТЭК России № 239; Digital Twin Consortium — AI Agent Capabilities Periodic Table (2025), Industrial AI Agent Manifesto (2026); данные Росстата/Т1 по применению ИИ в нефтегазовом комплексе (2026); публичные заявления представителей отрасли на ЦИПР-2026 и TNF-2026.</w:t>
      </w:r>
    </w:p>
    <w:sectPr w:rsidR="00FC693F" w:rsidRPr="0006063C" w:rsidSect="00034616">
      <w:pgSz w:w="12240" w:h="15840"/>
      <w:pgMar w:top="964" w:right="96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T Sans" w:hAnsi="PT Sans" w:eastAsia="PT Sans"/>
      <w:color w:val="1A2B3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